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BC5B" w14:textId="77777777" w:rsidR="00841A2C" w:rsidRPr="009A4F77" w:rsidRDefault="00841A2C" w:rsidP="00841A2C">
      <w:pPr>
        <w:jc w:val="center"/>
        <w:rPr>
          <w:rFonts w:cs="Arial"/>
          <w:b/>
          <w:sz w:val="24"/>
          <w:szCs w:val="24"/>
          <w:u w:val="single"/>
        </w:rPr>
      </w:pPr>
    </w:p>
    <w:p w14:paraId="1371C202" w14:textId="77777777" w:rsidR="00841A2C" w:rsidRPr="009A4F77" w:rsidRDefault="00841A2C" w:rsidP="00841A2C">
      <w:pPr>
        <w:jc w:val="center"/>
        <w:rPr>
          <w:rFonts w:cs="Arial"/>
          <w:b/>
          <w:sz w:val="24"/>
          <w:szCs w:val="24"/>
          <w:u w:val="single"/>
        </w:rPr>
      </w:pPr>
      <w:r w:rsidRPr="009A4F77">
        <w:rPr>
          <w:rFonts w:cs="Arial"/>
          <w:b/>
          <w:noProof/>
          <w:sz w:val="24"/>
          <w:szCs w:val="24"/>
          <w:u w:val="single"/>
          <w:lang w:eastAsia="en-GB"/>
        </w:rPr>
        <w:drawing>
          <wp:anchor distT="0" distB="0" distL="114300" distR="114300" simplePos="0" relativeHeight="251668480" behindDoc="0" locked="0" layoutInCell="1" allowOverlap="1" wp14:anchorId="20942147" wp14:editId="6DCD73BD">
            <wp:simplePos x="0" y="0"/>
            <wp:positionH relativeFrom="column">
              <wp:posOffset>815340</wp:posOffset>
            </wp:positionH>
            <wp:positionV relativeFrom="paragraph">
              <wp:posOffset>295275</wp:posOffset>
            </wp:positionV>
            <wp:extent cx="3733800" cy="2197100"/>
            <wp:effectExtent l="0" t="0" r="0" b="0"/>
            <wp:wrapTight wrapText="bothSides">
              <wp:wrapPolygon edited="0">
                <wp:start x="0" y="0"/>
                <wp:lineTo x="0" y="21350"/>
                <wp:lineTo x="21490" y="21350"/>
                <wp:lineTo x="2149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219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C7D21" w14:textId="77777777" w:rsidR="00841A2C" w:rsidRPr="009A4F77" w:rsidRDefault="00841A2C" w:rsidP="00841A2C">
      <w:pPr>
        <w:jc w:val="center"/>
        <w:rPr>
          <w:rFonts w:cs="Arial"/>
          <w:b/>
          <w:sz w:val="24"/>
          <w:szCs w:val="24"/>
          <w:u w:val="single"/>
        </w:rPr>
      </w:pPr>
    </w:p>
    <w:p w14:paraId="5BC90984" w14:textId="77777777" w:rsidR="00841A2C" w:rsidRPr="009A4F77" w:rsidRDefault="00841A2C" w:rsidP="00841A2C">
      <w:pPr>
        <w:jc w:val="center"/>
        <w:rPr>
          <w:rFonts w:cs="Arial"/>
          <w:b/>
          <w:sz w:val="24"/>
          <w:szCs w:val="24"/>
          <w:u w:val="single"/>
        </w:rPr>
      </w:pPr>
    </w:p>
    <w:p w14:paraId="4A7F0570" w14:textId="77777777" w:rsidR="00841A2C" w:rsidRPr="009A4F77" w:rsidRDefault="00841A2C" w:rsidP="00841A2C">
      <w:pPr>
        <w:jc w:val="center"/>
        <w:rPr>
          <w:rFonts w:cs="Arial"/>
          <w:b/>
          <w:sz w:val="24"/>
          <w:szCs w:val="24"/>
          <w:u w:val="single"/>
        </w:rPr>
      </w:pPr>
    </w:p>
    <w:p w14:paraId="06007687" w14:textId="77777777" w:rsidR="00841A2C" w:rsidRPr="009A4F77" w:rsidRDefault="00841A2C" w:rsidP="00841A2C">
      <w:pPr>
        <w:jc w:val="center"/>
        <w:rPr>
          <w:rFonts w:cs="Arial"/>
          <w:b/>
          <w:sz w:val="24"/>
          <w:szCs w:val="24"/>
          <w:u w:val="single"/>
        </w:rPr>
      </w:pPr>
    </w:p>
    <w:p w14:paraId="5ACFCE8A" w14:textId="77777777" w:rsidR="00841A2C" w:rsidRPr="009A4F77" w:rsidRDefault="00841A2C" w:rsidP="00841A2C">
      <w:pPr>
        <w:jc w:val="center"/>
        <w:rPr>
          <w:rFonts w:cs="Arial"/>
          <w:b/>
          <w:sz w:val="24"/>
          <w:szCs w:val="24"/>
          <w:u w:val="single"/>
        </w:rPr>
      </w:pPr>
    </w:p>
    <w:p w14:paraId="7133787E" w14:textId="77777777" w:rsidR="00841A2C" w:rsidRPr="009A4F77" w:rsidRDefault="00841A2C" w:rsidP="00841A2C">
      <w:pPr>
        <w:jc w:val="center"/>
        <w:rPr>
          <w:rFonts w:cs="Arial"/>
          <w:b/>
          <w:sz w:val="24"/>
          <w:szCs w:val="24"/>
          <w:u w:val="single"/>
        </w:rPr>
      </w:pPr>
    </w:p>
    <w:p w14:paraId="5EA27D59" w14:textId="77777777" w:rsidR="00841A2C" w:rsidRPr="009A4F77" w:rsidRDefault="00841A2C" w:rsidP="00841A2C">
      <w:pPr>
        <w:jc w:val="center"/>
        <w:rPr>
          <w:rFonts w:cs="Arial"/>
          <w:b/>
          <w:sz w:val="24"/>
          <w:szCs w:val="24"/>
          <w:u w:val="single"/>
        </w:rPr>
      </w:pPr>
    </w:p>
    <w:p w14:paraId="1AAF97AD" w14:textId="77777777" w:rsidR="00841A2C" w:rsidRPr="009A4F77" w:rsidRDefault="00841A2C" w:rsidP="00841A2C">
      <w:pPr>
        <w:jc w:val="center"/>
        <w:rPr>
          <w:rFonts w:cs="Arial"/>
          <w:b/>
          <w:sz w:val="24"/>
          <w:szCs w:val="24"/>
          <w:u w:val="single"/>
        </w:rPr>
      </w:pPr>
    </w:p>
    <w:p w14:paraId="5D5A813E" w14:textId="77777777" w:rsidR="00841A2C" w:rsidRPr="008074A7" w:rsidRDefault="00513C80" w:rsidP="00841A2C">
      <w:pPr>
        <w:jc w:val="center"/>
        <w:rPr>
          <w:rFonts w:cs="Arial"/>
          <w:b/>
          <w:sz w:val="36"/>
          <w:szCs w:val="24"/>
        </w:rPr>
      </w:pPr>
      <w:r>
        <w:rPr>
          <w:rFonts w:cs="Arial"/>
          <w:b/>
          <w:sz w:val="36"/>
          <w:szCs w:val="24"/>
        </w:rPr>
        <w:t>Policy for E</w:t>
      </w:r>
      <w:r w:rsidR="002D335D">
        <w:rPr>
          <w:rFonts w:cs="Arial"/>
          <w:b/>
          <w:sz w:val="36"/>
          <w:szCs w:val="24"/>
        </w:rPr>
        <w:t>mploying E</w:t>
      </w:r>
      <w:r w:rsidR="00ED2749">
        <w:rPr>
          <w:rFonts w:cs="Arial"/>
          <w:b/>
          <w:sz w:val="36"/>
          <w:szCs w:val="24"/>
        </w:rPr>
        <w:t>x-offenders</w:t>
      </w:r>
    </w:p>
    <w:p w14:paraId="741D069B" w14:textId="77777777" w:rsidR="00841A2C" w:rsidRPr="009A4F77" w:rsidRDefault="00841A2C" w:rsidP="00841A2C">
      <w:pPr>
        <w:jc w:val="center"/>
        <w:rPr>
          <w:rFonts w:cs="Arial"/>
          <w:b/>
          <w:sz w:val="24"/>
          <w:szCs w:val="24"/>
          <w:u w:val="single"/>
        </w:rPr>
      </w:pPr>
    </w:p>
    <w:p w14:paraId="18935568" w14:textId="77777777" w:rsidR="00841A2C" w:rsidRPr="009A4F77" w:rsidRDefault="00841A2C" w:rsidP="00841A2C">
      <w:pPr>
        <w:autoSpaceDE w:val="0"/>
        <w:autoSpaceDN w:val="0"/>
        <w:adjustRightInd w:val="0"/>
        <w:spacing w:after="0" w:line="240" w:lineRule="auto"/>
        <w:rPr>
          <w:rFonts w:cs="Arial"/>
          <w:b/>
          <w:sz w:val="24"/>
          <w:szCs w:val="24"/>
          <w:u w:val="single"/>
        </w:rPr>
      </w:pPr>
    </w:p>
    <w:p w14:paraId="67403C3D" w14:textId="77777777" w:rsidR="00841A2C" w:rsidRPr="009A4F77" w:rsidRDefault="00841A2C" w:rsidP="00841A2C">
      <w:pPr>
        <w:autoSpaceDE w:val="0"/>
        <w:autoSpaceDN w:val="0"/>
        <w:adjustRightInd w:val="0"/>
        <w:spacing w:after="0" w:line="240" w:lineRule="auto"/>
        <w:rPr>
          <w:rFonts w:cs="Arial"/>
          <w:b/>
          <w:sz w:val="24"/>
          <w:szCs w:val="24"/>
          <w:u w:val="single"/>
        </w:rPr>
      </w:pPr>
    </w:p>
    <w:p w14:paraId="2653D89D" w14:textId="77777777" w:rsidR="00841A2C" w:rsidRPr="00355C40" w:rsidRDefault="00841A2C" w:rsidP="00841A2C">
      <w:pPr>
        <w:autoSpaceDE w:val="0"/>
        <w:autoSpaceDN w:val="0"/>
        <w:adjustRightInd w:val="0"/>
        <w:spacing w:after="0" w:line="240" w:lineRule="auto"/>
        <w:rPr>
          <w:rFonts w:cs="Arial"/>
          <w:b/>
          <w:u w:val="single"/>
        </w:rPr>
      </w:pPr>
    </w:p>
    <w:p w14:paraId="79A9BA73" w14:textId="77777777" w:rsidR="00841A2C" w:rsidRPr="00355C40" w:rsidRDefault="00841A2C" w:rsidP="00841A2C">
      <w:pPr>
        <w:autoSpaceDE w:val="0"/>
        <w:autoSpaceDN w:val="0"/>
        <w:adjustRightInd w:val="0"/>
        <w:spacing w:after="0" w:line="240" w:lineRule="auto"/>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841A2C" w:rsidRPr="00355C40" w14:paraId="6D8645B9" w14:textId="77777777" w:rsidTr="00DF3B7B">
        <w:trPr>
          <w:trHeight w:val="564"/>
        </w:trPr>
        <w:tc>
          <w:tcPr>
            <w:tcW w:w="2781" w:type="dxa"/>
            <w:shd w:val="clear" w:color="auto" w:fill="auto"/>
            <w:vAlign w:val="center"/>
          </w:tcPr>
          <w:p w14:paraId="7F62CF8D" w14:textId="77777777" w:rsidR="00841A2C" w:rsidRPr="00355C40" w:rsidRDefault="00841A2C" w:rsidP="00DF3B7B">
            <w:pPr>
              <w:autoSpaceDE w:val="0"/>
              <w:autoSpaceDN w:val="0"/>
              <w:adjustRightInd w:val="0"/>
              <w:spacing w:after="0" w:line="240" w:lineRule="auto"/>
              <w:rPr>
                <w:bCs/>
              </w:rPr>
            </w:pPr>
            <w:r w:rsidRPr="00355C40">
              <w:rPr>
                <w:bCs/>
              </w:rPr>
              <w:t>Signed:</w:t>
            </w:r>
          </w:p>
        </w:tc>
        <w:tc>
          <w:tcPr>
            <w:tcW w:w="3154" w:type="dxa"/>
            <w:shd w:val="clear" w:color="auto" w:fill="auto"/>
            <w:vAlign w:val="center"/>
          </w:tcPr>
          <w:p w14:paraId="0CC14525" w14:textId="77777777" w:rsidR="00841A2C" w:rsidRPr="00355C40" w:rsidRDefault="00841A2C" w:rsidP="00DF3B7B">
            <w:pPr>
              <w:autoSpaceDE w:val="0"/>
              <w:autoSpaceDN w:val="0"/>
              <w:adjustRightInd w:val="0"/>
              <w:spacing w:after="0" w:line="240" w:lineRule="auto"/>
              <w:rPr>
                <w:b/>
                <w:bCs/>
                <w:u w:val="single"/>
              </w:rPr>
            </w:pPr>
            <w:r w:rsidRPr="00355C40">
              <w:rPr>
                <w:noProof/>
                <w:lang w:eastAsia="en-GB"/>
              </w:rPr>
              <w:drawing>
                <wp:inline distT="0" distB="0" distL="0" distR="0" wp14:anchorId="7DDE0D6C" wp14:editId="4AB5DA80">
                  <wp:extent cx="1258570" cy="43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8570" cy="439420"/>
                          </a:xfrm>
                          <a:prstGeom prst="rect">
                            <a:avLst/>
                          </a:prstGeom>
                          <a:noFill/>
                          <a:ln>
                            <a:noFill/>
                          </a:ln>
                        </pic:spPr>
                      </pic:pic>
                    </a:graphicData>
                  </a:graphic>
                </wp:inline>
              </w:drawing>
            </w:r>
          </w:p>
        </w:tc>
      </w:tr>
      <w:tr w:rsidR="00841A2C" w:rsidRPr="00355C40" w14:paraId="0A68875C" w14:textId="77777777" w:rsidTr="00DF3B7B">
        <w:trPr>
          <w:trHeight w:val="564"/>
        </w:trPr>
        <w:tc>
          <w:tcPr>
            <w:tcW w:w="2781" w:type="dxa"/>
            <w:shd w:val="clear" w:color="auto" w:fill="auto"/>
            <w:vAlign w:val="center"/>
          </w:tcPr>
          <w:p w14:paraId="532DCDA1" w14:textId="77777777" w:rsidR="00841A2C" w:rsidRPr="00355C40" w:rsidRDefault="00841A2C" w:rsidP="00DF3B7B">
            <w:pPr>
              <w:autoSpaceDE w:val="0"/>
              <w:autoSpaceDN w:val="0"/>
              <w:adjustRightInd w:val="0"/>
              <w:spacing w:after="0" w:line="240" w:lineRule="auto"/>
              <w:rPr>
                <w:bCs/>
              </w:rPr>
            </w:pPr>
            <w:r w:rsidRPr="00355C40">
              <w:rPr>
                <w:bCs/>
              </w:rPr>
              <w:t>Chair of Trust Board:</w:t>
            </w:r>
          </w:p>
        </w:tc>
        <w:tc>
          <w:tcPr>
            <w:tcW w:w="3154" w:type="dxa"/>
            <w:shd w:val="clear" w:color="auto" w:fill="auto"/>
            <w:vAlign w:val="center"/>
          </w:tcPr>
          <w:p w14:paraId="1F368A68" w14:textId="77777777" w:rsidR="00841A2C" w:rsidRPr="00355C40" w:rsidRDefault="00841A2C" w:rsidP="00DF3B7B">
            <w:pPr>
              <w:autoSpaceDE w:val="0"/>
              <w:autoSpaceDN w:val="0"/>
              <w:adjustRightInd w:val="0"/>
              <w:spacing w:after="0" w:line="240" w:lineRule="auto"/>
              <w:rPr>
                <w:bCs/>
              </w:rPr>
            </w:pPr>
            <w:r w:rsidRPr="00355C40">
              <w:rPr>
                <w:bCs/>
              </w:rPr>
              <w:t>Claire Delaney</w:t>
            </w:r>
          </w:p>
        </w:tc>
      </w:tr>
      <w:tr w:rsidR="00841A2C" w:rsidRPr="00355C40" w14:paraId="72325FED" w14:textId="77777777" w:rsidTr="00DF3B7B">
        <w:trPr>
          <w:trHeight w:val="564"/>
        </w:trPr>
        <w:tc>
          <w:tcPr>
            <w:tcW w:w="2781" w:type="dxa"/>
            <w:shd w:val="clear" w:color="auto" w:fill="auto"/>
            <w:vAlign w:val="center"/>
          </w:tcPr>
          <w:p w14:paraId="671D8426" w14:textId="77777777" w:rsidR="00841A2C" w:rsidRPr="00355C40" w:rsidRDefault="00841A2C" w:rsidP="00DF3B7B">
            <w:pPr>
              <w:autoSpaceDE w:val="0"/>
              <w:autoSpaceDN w:val="0"/>
              <w:adjustRightInd w:val="0"/>
              <w:spacing w:after="0" w:line="240" w:lineRule="auto"/>
              <w:rPr>
                <w:bCs/>
              </w:rPr>
            </w:pPr>
            <w:r w:rsidRPr="00355C40">
              <w:rPr>
                <w:bCs/>
              </w:rPr>
              <w:t>Approved:</w:t>
            </w:r>
          </w:p>
        </w:tc>
        <w:tc>
          <w:tcPr>
            <w:tcW w:w="3154" w:type="dxa"/>
            <w:shd w:val="clear" w:color="auto" w:fill="auto"/>
            <w:vAlign w:val="center"/>
          </w:tcPr>
          <w:p w14:paraId="72639AB1" w14:textId="6ED04365" w:rsidR="00841A2C" w:rsidRPr="00355C40" w:rsidRDefault="00841A2C" w:rsidP="00966D56">
            <w:pPr>
              <w:autoSpaceDE w:val="0"/>
              <w:autoSpaceDN w:val="0"/>
              <w:adjustRightInd w:val="0"/>
              <w:spacing w:after="0" w:line="240" w:lineRule="auto"/>
              <w:rPr>
                <w:bCs/>
              </w:rPr>
            </w:pPr>
            <w:r w:rsidRPr="00355C40">
              <w:rPr>
                <w:bCs/>
              </w:rPr>
              <w:t xml:space="preserve">1 </w:t>
            </w:r>
            <w:r w:rsidR="00966D56">
              <w:rPr>
                <w:bCs/>
              </w:rPr>
              <w:t>September</w:t>
            </w:r>
            <w:r w:rsidR="007762ED" w:rsidRPr="00355C40">
              <w:rPr>
                <w:bCs/>
              </w:rPr>
              <w:t xml:space="preserve"> </w:t>
            </w:r>
            <w:r w:rsidR="00ED2749">
              <w:rPr>
                <w:bCs/>
              </w:rPr>
              <w:t>202</w:t>
            </w:r>
            <w:r w:rsidR="00DD5641">
              <w:rPr>
                <w:bCs/>
              </w:rPr>
              <w:t>1</w:t>
            </w:r>
          </w:p>
        </w:tc>
      </w:tr>
      <w:tr w:rsidR="00841A2C" w:rsidRPr="00355C40" w14:paraId="1223E560" w14:textId="77777777" w:rsidTr="00DF3B7B">
        <w:trPr>
          <w:trHeight w:val="564"/>
        </w:trPr>
        <w:tc>
          <w:tcPr>
            <w:tcW w:w="2781" w:type="dxa"/>
            <w:shd w:val="clear" w:color="auto" w:fill="auto"/>
            <w:vAlign w:val="center"/>
          </w:tcPr>
          <w:p w14:paraId="1196E908" w14:textId="77777777" w:rsidR="00841A2C" w:rsidRPr="00355C40" w:rsidRDefault="00841A2C" w:rsidP="00DF3B7B">
            <w:pPr>
              <w:autoSpaceDE w:val="0"/>
              <w:autoSpaceDN w:val="0"/>
              <w:adjustRightInd w:val="0"/>
              <w:spacing w:after="0" w:line="240" w:lineRule="auto"/>
              <w:rPr>
                <w:bCs/>
              </w:rPr>
            </w:pPr>
            <w:r w:rsidRPr="00355C40">
              <w:rPr>
                <w:bCs/>
              </w:rPr>
              <w:t>Renewal:</w:t>
            </w:r>
          </w:p>
        </w:tc>
        <w:tc>
          <w:tcPr>
            <w:tcW w:w="3154" w:type="dxa"/>
            <w:shd w:val="clear" w:color="auto" w:fill="auto"/>
            <w:vAlign w:val="center"/>
          </w:tcPr>
          <w:p w14:paraId="65769AF7" w14:textId="223734A5" w:rsidR="00841A2C" w:rsidRPr="00355C40" w:rsidRDefault="00841A2C" w:rsidP="00DF3B7B">
            <w:pPr>
              <w:autoSpaceDE w:val="0"/>
              <w:autoSpaceDN w:val="0"/>
              <w:adjustRightInd w:val="0"/>
              <w:spacing w:after="0" w:line="240" w:lineRule="auto"/>
              <w:rPr>
                <w:bCs/>
              </w:rPr>
            </w:pPr>
            <w:r w:rsidRPr="00355C40">
              <w:rPr>
                <w:bCs/>
              </w:rPr>
              <w:t xml:space="preserve">Every </w:t>
            </w:r>
            <w:r w:rsidR="004569E8">
              <w:rPr>
                <w:bCs/>
              </w:rPr>
              <w:t>3</w:t>
            </w:r>
            <w:r w:rsidRPr="00355C40">
              <w:rPr>
                <w:bCs/>
              </w:rPr>
              <w:t xml:space="preserve"> Years</w:t>
            </w:r>
          </w:p>
        </w:tc>
      </w:tr>
      <w:tr w:rsidR="00841A2C" w:rsidRPr="00355C40" w14:paraId="581F8475" w14:textId="77777777" w:rsidTr="00DF3B7B">
        <w:trPr>
          <w:trHeight w:val="564"/>
        </w:trPr>
        <w:tc>
          <w:tcPr>
            <w:tcW w:w="2781" w:type="dxa"/>
            <w:shd w:val="clear" w:color="auto" w:fill="auto"/>
            <w:vAlign w:val="center"/>
          </w:tcPr>
          <w:p w14:paraId="06236015" w14:textId="77777777" w:rsidR="00841A2C" w:rsidRPr="00355C40" w:rsidRDefault="00841A2C" w:rsidP="00DF3B7B">
            <w:pPr>
              <w:autoSpaceDE w:val="0"/>
              <w:autoSpaceDN w:val="0"/>
              <w:adjustRightInd w:val="0"/>
              <w:spacing w:after="0" w:line="240" w:lineRule="auto"/>
              <w:rPr>
                <w:bCs/>
              </w:rPr>
            </w:pPr>
            <w:r w:rsidRPr="00355C40">
              <w:rPr>
                <w:bCs/>
              </w:rPr>
              <w:t>Review Date:</w:t>
            </w:r>
          </w:p>
        </w:tc>
        <w:tc>
          <w:tcPr>
            <w:tcW w:w="3154" w:type="dxa"/>
            <w:shd w:val="clear" w:color="auto" w:fill="auto"/>
            <w:vAlign w:val="center"/>
          </w:tcPr>
          <w:p w14:paraId="1629AEB1" w14:textId="2155AF2B" w:rsidR="00841A2C" w:rsidRPr="00355C40" w:rsidRDefault="00841A2C" w:rsidP="00DF3B7B">
            <w:pPr>
              <w:autoSpaceDE w:val="0"/>
              <w:autoSpaceDN w:val="0"/>
              <w:adjustRightInd w:val="0"/>
              <w:spacing w:after="0" w:line="240" w:lineRule="auto"/>
              <w:rPr>
                <w:bCs/>
              </w:rPr>
            </w:pPr>
            <w:r w:rsidRPr="00355C40">
              <w:rPr>
                <w:bCs/>
              </w:rPr>
              <w:t>September 202</w:t>
            </w:r>
            <w:r w:rsidR="00DD5641">
              <w:rPr>
                <w:bCs/>
              </w:rPr>
              <w:t>4</w:t>
            </w:r>
          </w:p>
        </w:tc>
      </w:tr>
    </w:tbl>
    <w:p w14:paraId="4C295345" w14:textId="77777777" w:rsidR="00841A2C" w:rsidRPr="00355C40" w:rsidRDefault="00841A2C" w:rsidP="00841A2C">
      <w:pPr>
        <w:autoSpaceDE w:val="0"/>
        <w:autoSpaceDN w:val="0"/>
        <w:adjustRightInd w:val="0"/>
        <w:spacing w:after="0" w:line="240" w:lineRule="auto"/>
        <w:rPr>
          <w:rFonts w:cs="Arial"/>
          <w:b/>
          <w:u w:val="single"/>
        </w:rPr>
      </w:pPr>
    </w:p>
    <w:p w14:paraId="686C64F1" w14:textId="77777777" w:rsidR="00841A2C" w:rsidRPr="00355C40" w:rsidRDefault="00841A2C">
      <w:pPr>
        <w:rPr>
          <w:b/>
        </w:rPr>
      </w:pPr>
      <w:r w:rsidRPr="00355C40">
        <w:rPr>
          <w:b/>
        </w:rPr>
        <w:br w:type="page"/>
      </w:r>
    </w:p>
    <w:p w14:paraId="21695A74" w14:textId="77777777" w:rsidR="006F434A" w:rsidRDefault="006F434A" w:rsidP="0035485F">
      <w:pPr>
        <w:shd w:val="clear" w:color="auto" w:fill="FFFFFF"/>
        <w:spacing w:after="0" w:line="240" w:lineRule="auto"/>
        <w:rPr>
          <w:rFonts w:cstheme="minorHAnsi"/>
          <w:b/>
        </w:rPr>
      </w:pPr>
    </w:p>
    <w:p w14:paraId="61BFD301" w14:textId="77777777" w:rsidR="0035485F" w:rsidRPr="00F73AF9" w:rsidRDefault="0035485F" w:rsidP="0035485F">
      <w:pPr>
        <w:shd w:val="clear" w:color="auto" w:fill="FFFFFF"/>
        <w:spacing w:after="0" w:line="240" w:lineRule="auto"/>
        <w:rPr>
          <w:b/>
          <w:lang w:val="en-US"/>
        </w:rPr>
      </w:pPr>
      <w:r w:rsidRPr="00F73AF9">
        <w:rPr>
          <w:rFonts w:cstheme="minorHAnsi"/>
          <w:b/>
        </w:rPr>
        <w:t>1. Bellevue Place Education Trust – Our commitment</w:t>
      </w:r>
    </w:p>
    <w:p w14:paraId="170EB66A" w14:textId="77777777" w:rsidR="0035485F" w:rsidRDefault="0035485F" w:rsidP="0035485F">
      <w:pPr>
        <w:pStyle w:val="NoSpacing"/>
        <w:rPr>
          <w:rFonts w:asciiTheme="minorHAnsi" w:hAnsiTheme="minorHAnsi" w:cstheme="minorHAnsi"/>
          <w:b/>
          <w:bCs/>
          <w:iCs/>
          <w:sz w:val="22"/>
          <w:szCs w:val="22"/>
        </w:rPr>
      </w:pPr>
    </w:p>
    <w:p w14:paraId="141F71A0" w14:textId="77777777" w:rsidR="009605B3" w:rsidRPr="009605B3" w:rsidRDefault="009605B3" w:rsidP="009605B3">
      <w:pPr>
        <w:shd w:val="clear" w:color="auto" w:fill="FFFFFF"/>
        <w:spacing w:after="0" w:line="240" w:lineRule="auto"/>
        <w:rPr>
          <w:rFonts w:cstheme="minorHAnsi"/>
        </w:rPr>
      </w:pPr>
      <w:r w:rsidRPr="009605B3">
        <w:rPr>
          <w:rFonts w:eastAsia="Arial" w:cstheme="minorHAnsi"/>
          <w:b/>
          <w:i/>
          <w:color w:val="7030A0"/>
        </w:rPr>
        <w:t>Learn. Enjoy. Succeed.</w:t>
      </w:r>
    </w:p>
    <w:p w14:paraId="1556C731" w14:textId="77777777" w:rsidR="009605B3" w:rsidRPr="009605B3" w:rsidRDefault="009605B3" w:rsidP="009605B3">
      <w:pPr>
        <w:pStyle w:val="NoSpacing"/>
        <w:rPr>
          <w:rFonts w:asciiTheme="minorHAnsi" w:hAnsiTheme="minorHAnsi" w:cstheme="minorHAnsi"/>
          <w:iCs/>
          <w:sz w:val="22"/>
          <w:szCs w:val="22"/>
        </w:rPr>
      </w:pPr>
    </w:p>
    <w:p w14:paraId="3D2461E4" w14:textId="77777777" w:rsidR="009605B3" w:rsidRPr="009605B3" w:rsidRDefault="009605B3" w:rsidP="009605B3">
      <w:pPr>
        <w:pStyle w:val="NoSpacing"/>
        <w:rPr>
          <w:rFonts w:asciiTheme="minorHAnsi" w:hAnsiTheme="minorHAnsi" w:cstheme="minorHAnsi"/>
          <w:bCs/>
          <w:iCs/>
          <w:sz w:val="22"/>
          <w:szCs w:val="22"/>
        </w:rPr>
      </w:pPr>
      <w:r w:rsidRPr="009605B3">
        <w:rPr>
          <w:rFonts w:asciiTheme="minorHAnsi" w:hAnsiTheme="minorHAnsi" w:cstheme="minorHAnsi"/>
          <w:bCs/>
          <w:iCs/>
          <w:sz w:val="22"/>
          <w:szCs w:val="22"/>
        </w:rPr>
        <w:t>Every BPET child and staff member enjoys a broad (LEARN) and enriched (ENJOY) learning experience, enabling them to achieve far greater individual success (SUCCEED) than they might previously have thought possible.</w:t>
      </w:r>
    </w:p>
    <w:p w14:paraId="37CC3F6C" w14:textId="77777777" w:rsidR="009605B3" w:rsidRPr="009605B3" w:rsidRDefault="009605B3" w:rsidP="009605B3">
      <w:pPr>
        <w:pStyle w:val="NoSpacing"/>
        <w:rPr>
          <w:rFonts w:asciiTheme="minorHAnsi" w:hAnsiTheme="minorHAnsi" w:cstheme="minorHAnsi"/>
          <w:b/>
          <w:bCs/>
          <w:iCs/>
          <w:sz w:val="22"/>
          <w:szCs w:val="22"/>
          <w:u w:val="single"/>
        </w:rPr>
      </w:pPr>
    </w:p>
    <w:p w14:paraId="31A9D2AD" w14:textId="77777777" w:rsidR="009605B3" w:rsidRPr="009605B3" w:rsidRDefault="009605B3" w:rsidP="009605B3">
      <w:pPr>
        <w:pStyle w:val="NoSpacing"/>
        <w:rPr>
          <w:rFonts w:asciiTheme="minorHAnsi" w:hAnsiTheme="minorHAnsi" w:cstheme="minorHAnsi"/>
          <w:b/>
          <w:bCs/>
          <w:iCs/>
          <w:sz w:val="22"/>
          <w:szCs w:val="22"/>
        </w:rPr>
      </w:pPr>
      <w:r w:rsidRPr="009605B3">
        <w:rPr>
          <w:rFonts w:asciiTheme="minorHAnsi" w:hAnsiTheme="minorHAnsi" w:cstheme="minorHAnsi"/>
          <w:b/>
          <w:bCs/>
          <w:iCs/>
          <w:sz w:val="22"/>
          <w:szCs w:val="22"/>
          <w:u w:val="single"/>
        </w:rPr>
        <w:t>Our Mission</w:t>
      </w:r>
    </w:p>
    <w:p w14:paraId="5B03F26A" w14:textId="77777777" w:rsidR="009605B3" w:rsidRPr="009605B3" w:rsidRDefault="009605B3" w:rsidP="009605B3">
      <w:pPr>
        <w:pStyle w:val="NoSpacing"/>
        <w:ind w:left="1440"/>
        <w:rPr>
          <w:rFonts w:asciiTheme="minorHAnsi" w:hAnsiTheme="minorHAnsi" w:cstheme="minorHAnsi"/>
          <w:bCs/>
          <w:iCs/>
          <w:sz w:val="22"/>
          <w:szCs w:val="22"/>
        </w:rPr>
      </w:pPr>
      <w:r w:rsidRPr="009605B3">
        <w:rPr>
          <w:rFonts w:asciiTheme="minorHAnsi" w:hAnsiTheme="minorHAnsi" w:cstheme="minorHAnsi"/>
          <w:bCs/>
          <w:iCs/>
          <w:sz w:val="22"/>
          <w:szCs w:val="22"/>
        </w:rPr>
        <w:t xml:space="preserve">To grow hubs of like-minded, autonomous schools with a </w:t>
      </w:r>
      <w:r w:rsidRPr="009605B3">
        <w:rPr>
          <w:rFonts w:asciiTheme="minorHAnsi" w:hAnsiTheme="minorHAnsi" w:cstheme="minorHAnsi"/>
          <w:sz w:val="22"/>
          <w:szCs w:val="22"/>
        </w:rPr>
        <w:t>strong support network</w:t>
      </w:r>
      <w:r w:rsidRPr="009605B3">
        <w:rPr>
          <w:rFonts w:asciiTheme="minorHAnsi" w:hAnsiTheme="minorHAnsi" w:cstheme="minorHAnsi"/>
          <w:bCs/>
          <w:iCs/>
          <w:sz w:val="22"/>
          <w:szCs w:val="22"/>
        </w:rPr>
        <w:t>, all of which combine academic rigour with highly enriched opportunities that deliver a personalised approach to education and exceptional outcomes for all.</w:t>
      </w:r>
    </w:p>
    <w:p w14:paraId="4177B5DB" w14:textId="77777777" w:rsidR="009605B3" w:rsidRPr="009605B3" w:rsidRDefault="009605B3" w:rsidP="009605B3">
      <w:pPr>
        <w:pStyle w:val="NoSpacing"/>
        <w:rPr>
          <w:rFonts w:asciiTheme="minorHAnsi" w:hAnsiTheme="minorHAnsi" w:cstheme="minorHAnsi"/>
          <w:b/>
          <w:bCs/>
          <w:iCs/>
          <w:sz w:val="22"/>
          <w:szCs w:val="22"/>
        </w:rPr>
      </w:pPr>
      <w:r w:rsidRPr="009605B3">
        <w:rPr>
          <w:rFonts w:asciiTheme="minorHAnsi" w:hAnsiTheme="minorHAnsi" w:cstheme="minorHAnsi"/>
          <w:b/>
          <w:bCs/>
          <w:iCs/>
          <w:sz w:val="22"/>
          <w:szCs w:val="22"/>
          <w:u w:val="single"/>
        </w:rPr>
        <w:t>Our Difference</w:t>
      </w:r>
    </w:p>
    <w:p w14:paraId="28887B3C" w14:textId="77777777" w:rsidR="009605B3" w:rsidRPr="009605B3" w:rsidRDefault="009605B3" w:rsidP="009605B3">
      <w:pPr>
        <w:pStyle w:val="NoSpacing"/>
        <w:ind w:left="1440"/>
        <w:rPr>
          <w:rFonts w:asciiTheme="minorHAnsi" w:hAnsiTheme="minorHAnsi" w:cstheme="minorHAnsi"/>
          <w:bCs/>
          <w:iCs/>
          <w:sz w:val="22"/>
          <w:szCs w:val="22"/>
        </w:rPr>
      </w:pPr>
      <w:r w:rsidRPr="009605B3">
        <w:rPr>
          <w:rFonts w:asciiTheme="minorHAnsi" w:hAnsiTheme="minorHAnsi" w:cstheme="minorHAnsi"/>
          <w:bCs/>
          <w:iCs/>
          <w:sz w:val="22"/>
          <w:szCs w:val="22"/>
        </w:rPr>
        <w:t>We are leading the way in delivering high quality education through skills-based and knowledge rich curricula, applying the best of the independent and state sectors to deliver breadth of opportunity and pupil enrichment. We empower all our schools as individual entities that best meet the needs of the communities they serve and have a strong relationship with families, who are our key partners in delivering the vision.</w:t>
      </w:r>
    </w:p>
    <w:p w14:paraId="16EC7D1F" w14:textId="77777777" w:rsidR="009605B3" w:rsidRPr="009605B3" w:rsidRDefault="009605B3" w:rsidP="009605B3">
      <w:pPr>
        <w:pStyle w:val="NoSpacing"/>
        <w:rPr>
          <w:rFonts w:asciiTheme="minorHAnsi" w:hAnsiTheme="minorHAnsi" w:cstheme="minorHAnsi"/>
          <w:b/>
          <w:bCs/>
          <w:iCs/>
          <w:sz w:val="22"/>
          <w:szCs w:val="22"/>
        </w:rPr>
      </w:pPr>
      <w:r w:rsidRPr="009605B3">
        <w:rPr>
          <w:rFonts w:asciiTheme="minorHAnsi" w:hAnsiTheme="minorHAnsi" w:cstheme="minorHAnsi"/>
          <w:b/>
          <w:bCs/>
          <w:iCs/>
          <w:sz w:val="22"/>
          <w:szCs w:val="22"/>
          <w:u w:val="single"/>
        </w:rPr>
        <w:t>Our Promise</w:t>
      </w:r>
    </w:p>
    <w:p w14:paraId="0988DD51" w14:textId="77777777" w:rsidR="009605B3" w:rsidRPr="009605B3" w:rsidRDefault="009605B3" w:rsidP="009605B3">
      <w:pPr>
        <w:pStyle w:val="NoSpacing"/>
        <w:ind w:left="1440"/>
        <w:rPr>
          <w:rFonts w:asciiTheme="minorHAnsi" w:hAnsiTheme="minorHAnsi" w:cstheme="minorHAnsi"/>
          <w:bCs/>
          <w:iCs/>
          <w:sz w:val="22"/>
          <w:szCs w:val="22"/>
        </w:rPr>
      </w:pPr>
      <w:r w:rsidRPr="009605B3">
        <w:rPr>
          <w:rFonts w:asciiTheme="minorHAnsi" w:hAnsiTheme="minorHAnsi" w:cstheme="minorHAnsi"/>
          <w:bCs/>
          <w:iCs/>
          <w:sz w:val="22"/>
          <w:szCs w:val="22"/>
        </w:rPr>
        <w:t xml:space="preserve">Every child is an individual.  Our role is to nurture pupils’ potential through a personalised approach to learning. BPET children are happy, independent, confident all-rounders.  </w:t>
      </w:r>
      <w:r w:rsidRPr="009605B3">
        <w:rPr>
          <w:rFonts w:asciiTheme="minorHAnsi" w:hAnsiTheme="minorHAnsi" w:cstheme="minorHAnsi"/>
          <w:sz w:val="22"/>
          <w:szCs w:val="22"/>
        </w:rPr>
        <w:t>Our focus is ensuring an exceptional provision for all our children with supportive, accessible learning that enables every child to make progress, including high quality inclusion for children with Special Educational Needs.</w:t>
      </w:r>
      <w:r w:rsidRPr="009605B3">
        <w:rPr>
          <w:rFonts w:asciiTheme="minorHAnsi" w:hAnsiTheme="minorHAnsi" w:cstheme="minorHAnsi"/>
          <w:i/>
          <w:iCs/>
          <w:color w:val="FF0000"/>
          <w:sz w:val="22"/>
          <w:szCs w:val="22"/>
        </w:rPr>
        <w:t xml:space="preserve">  </w:t>
      </w:r>
      <w:r w:rsidRPr="009605B3">
        <w:rPr>
          <w:rFonts w:asciiTheme="minorHAnsi" w:hAnsiTheme="minorHAnsi" w:cstheme="minorHAnsi"/>
          <w:bCs/>
          <w:iCs/>
          <w:sz w:val="22"/>
          <w:szCs w:val="22"/>
        </w:rPr>
        <w:t>We encourage a ‘be interested and be interesting’ attitude in children and staff alike.  We don’t just teach; we want our pupils to have a passion to learn.</w:t>
      </w:r>
    </w:p>
    <w:p w14:paraId="7A450801" w14:textId="77777777" w:rsidR="0035485F" w:rsidRPr="00ED6EEC" w:rsidRDefault="0035485F" w:rsidP="0035485F">
      <w:pPr>
        <w:spacing w:after="120"/>
        <w:rPr>
          <w:rFonts w:cstheme="minorHAnsi"/>
          <w:b/>
        </w:rPr>
      </w:pPr>
    </w:p>
    <w:p w14:paraId="45510E1E" w14:textId="77777777" w:rsidR="00841A2C" w:rsidRPr="00355C40" w:rsidRDefault="00ED2749" w:rsidP="007762ED">
      <w:pPr>
        <w:pStyle w:val="Header"/>
        <w:numPr>
          <w:ilvl w:val="0"/>
          <w:numId w:val="22"/>
        </w:numPr>
        <w:tabs>
          <w:tab w:val="clear" w:pos="4513"/>
          <w:tab w:val="clear" w:pos="9026"/>
          <w:tab w:val="center" w:pos="1134"/>
          <w:tab w:val="right" w:pos="3686"/>
        </w:tabs>
        <w:rPr>
          <w:rFonts w:cs="Arial"/>
          <w:b/>
          <w:u w:val="single"/>
        </w:rPr>
      </w:pPr>
      <w:r>
        <w:rPr>
          <w:rFonts w:cs="Arial"/>
          <w:b/>
          <w:u w:val="single"/>
        </w:rPr>
        <w:t xml:space="preserve">Introduction </w:t>
      </w:r>
    </w:p>
    <w:p w14:paraId="51976333" w14:textId="77777777" w:rsidR="008D7404" w:rsidRDefault="00ED2749" w:rsidP="00ED2749">
      <w:pPr>
        <w:pStyle w:val="Header"/>
        <w:numPr>
          <w:ilvl w:val="1"/>
          <w:numId w:val="22"/>
        </w:numPr>
        <w:jc w:val="both"/>
        <w:rPr>
          <w:rFonts w:cs="Arial"/>
        </w:rPr>
      </w:pPr>
      <w:r>
        <w:rPr>
          <w:rFonts w:cs="Arial"/>
        </w:rPr>
        <w:t>Staff in BPET are c</w:t>
      </w:r>
      <w:r w:rsidR="008D7404">
        <w:rPr>
          <w:rFonts w:cs="Arial"/>
        </w:rPr>
        <w:t>entral to delivering the BPET vision and we are committed to recruiting the best staff we can for the role and to support our pupils to achieve the best they can be.</w:t>
      </w:r>
    </w:p>
    <w:p w14:paraId="37C56E40" w14:textId="77777777" w:rsidR="00841A2C" w:rsidRDefault="008D7404" w:rsidP="00ED2749">
      <w:pPr>
        <w:pStyle w:val="Header"/>
        <w:numPr>
          <w:ilvl w:val="1"/>
          <w:numId w:val="22"/>
        </w:numPr>
        <w:jc w:val="both"/>
        <w:rPr>
          <w:rFonts w:cs="Arial"/>
        </w:rPr>
      </w:pPr>
      <w:r w:rsidRPr="008D7404">
        <w:rPr>
          <w:rFonts w:cstheme="minorHAnsi"/>
        </w:rPr>
        <w:t xml:space="preserve">We have a </w:t>
      </w:r>
      <w:r>
        <w:rPr>
          <w:rFonts w:cstheme="minorHAnsi"/>
        </w:rPr>
        <w:t xml:space="preserve">safer </w:t>
      </w:r>
      <w:r w:rsidRPr="008D7404">
        <w:rPr>
          <w:rFonts w:cstheme="minorHAnsi"/>
        </w:rPr>
        <w:t>recruitment policy, which sets out to ensure that we recruit the best person for the job and have a workforce, which reflects the diversity of the local community.</w:t>
      </w:r>
    </w:p>
    <w:p w14:paraId="2C23551C" w14:textId="77777777" w:rsidR="008D7404" w:rsidRPr="005C44A3" w:rsidRDefault="008D7404" w:rsidP="008D7404">
      <w:pPr>
        <w:pStyle w:val="ListParagraph"/>
        <w:numPr>
          <w:ilvl w:val="1"/>
          <w:numId w:val="22"/>
        </w:numPr>
        <w:rPr>
          <w:rFonts w:cstheme="minorHAnsi"/>
        </w:rPr>
      </w:pPr>
      <w:r>
        <w:rPr>
          <w:rFonts w:cstheme="minorHAnsi"/>
        </w:rPr>
        <w:t>Our Equality</w:t>
      </w:r>
      <w:r w:rsidR="006F434A">
        <w:rPr>
          <w:rFonts w:cstheme="minorHAnsi"/>
        </w:rPr>
        <w:t xml:space="preserve"> Policy</w:t>
      </w:r>
      <w:r>
        <w:rPr>
          <w:rFonts w:cstheme="minorHAnsi"/>
        </w:rPr>
        <w:t xml:space="preserve"> </w:t>
      </w:r>
      <w:r w:rsidRPr="008D7404">
        <w:rPr>
          <w:rFonts w:cstheme="minorHAnsi"/>
        </w:rPr>
        <w:t>sets out our commitment to encouraging equality, diversity and inclusion among our workforce, and eliminating unlawful discrimination.</w:t>
      </w:r>
      <w:r w:rsidRPr="008D7404">
        <w:t xml:space="preserve"> </w:t>
      </w:r>
      <w:r w:rsidR="006F434A">
        <w:t xml:space="preserve">  The aim is for our workforce to be truly representative of all sections of society and the pupils we serve, and for each employee to feel respected and able to give their best.</w:t>
      </w:r>
    </w:p>
    <w:p w14:paraId="6284CE10" w14:textId="77777777" w:rsidR="005C44A3" w:rsidRDefault="005C44A3" w:rsidP="005C44A3">
      <w:pPr>
        <w:numPr>
          <w:ilvl w:val="1"/>
          <w:numId w:val="22"/>
        </w:numPr>
      </w:pPr>
      <w:r>
        <w:t>BPET</w:t>
      </w:r>
      <w:r w:rsidRPr="009641A1">
        <w:t xml:space="preserve"> is committed to the fair treatment of its staff, potential staff </w:t>
      </w:r>
      <w:r>
        <w:t xml:space="preserve">and </w:t>
      </w:r>
      <w:r w:rsidR="00966D56">
        <w:t>its</w:t>
      </w:r>
      <w:r>
        <w:t xml:space="preserve"> pupils and their families</w:t>
      </w:r>
      <w:r w:rsidRPr="009641A1">
        <w:t>, regardless of race, gender, religion, sexual orientation, responsibilities for dependants, age, physical/mental disability or offending background</w:t>
      </w:r>
      <w:r>
        <w:t>.</w:t>
      </w:r>
    </w:p>
    <w:p w14:paraId="1BE2332D" w14:textId="77777777" w:rsidR="005C44A3" w:rsidRPr="009641A1" w:rsidRDefault="005C44A3" w:rsidP="005C44A3">
      <w:pPr>
        <w:numPr>
          <w:ilvl w:val="1"/>
          <w:numId w:val="22"/>
        </w:numPr>
      </w:pPr>
      <w:r>
        <w:t xml:space="preserve">This policy is available to all applicants </w:t>
      </w:r>
      <w:r w:rsidR="002D335D">
        <w:t>as part of the applicant pack.</w:t>
      </w:r>
    </w:p>
    <w:p w14:paraId="4FD20663" w14:textId="77777777" w:rsidR="006F434A" w:rsidRPr="008D7404" w:rsidRDefault="006F434A" w:rsidP="006F434A">
      <w:pPr>
        <w:pStyle w:val="ListParagraph"/>
        <w:ind w:left="360"/>
        <w:rPr>
          <w:rFonts w:cstheme="minorHAnsi"/>
        </w:rPr>
      </w:pPr>
    </w:p>
    <w:p w14:paraId="474BD0EB" w14:textId="77777777" w:rsidR="00ED2749" w:rsidRPr="008D7404" w:rsidRDefault="006F434A" w:rsidP="008D7404">
      <w:pPr>
        <w:pStyle w:val="ListParagraph"/>
        <w:numPr>
          <w:ilvl w:val="0"/>
          <w:numId w:val="22"/>
        </w:numPr>
        <w:rPr>
          <w:b/>
          <w:bCs/>
          <w:u w:val="single"/>
        </w:rPr>
      </w:pPr>
      <w:r>
        <w:rPr>
          <w:b/>
          <w:bCs/>
          <w:u w:val="single"/>
        </w:rPr>
        <w:t>Employing Ex-offenders</w:t>
      </w:r>
    </w:p>
    <w:p w14:paraId="429A8FC1" w14:textId="77777777" w:rsidR="00ED2749" w:rsidRPr="009641A1" w:rsidRDefault="00ED2749" w:rsidP="00ED2749">
      <w:pPr>
        <w:numPr>
          <w:ilvl w:val="0"/>
          <w:numId w:val="26"/>
        </w:numPr>
      </w:pPr>
      <w:r w:rsidRPr="009641A1">
        <w:t xml:space="preserve">as an organisation assessing applicants’ suitability for positions which are included in the Rehabilitation of Offenders Act 1974 (Exceptions) Order using criminal record checks processed through the Disclosure and Barring Service (DBS), </w:t>
      </w:r>
      <w:r w:rsidR="006F434A">
        <w:t xml:space="preserve">BPET </w:t>
      </w:r>
      <w:r w:rsidRPr="009641A1">
        <w:t xml:space="preserve">complies fully with </w:t>
      </w:r>
      <w:r w:rsidR="00966D56">
        <w:t>DBS</w:t>
      </w:r>
      <w:r w:rsidRPr="009641A1">
        <w:t> </w:t>
      </w:r>
      <w:hyperlink r:id="rId7" w:history="1">
        <w:r w:rsidRPr="009641A1">
          <w:rPr>
            <w:rStyle w:val="Hyperlink"/>
          </w:rPr>
          <w:t>code of practice</w:t>
        </w:r>
      </w:hyperlink>
      <w:r w:rsidRPr="009641A1">
        <w:t> and undertakes to treat all applicants for positions fairly</w:t>
      </w:r>
    </w:p>
    <w:p w14:paraId="3E89A46C" w14:textId="77777777" w:rsidR="00ED2749" w:rsidRPr="009641A1" w:rsidRDefault="006F434A" w:rsidP="00ED2749">
      <w:pPr>
        <w:numPr>
          <w:ilvl w:val="0"/>
          <w:numId w:val="26"/>
        </w:numPr>
      </w:pPr>
      <w:r>
        <w:t>BPET</w:t>
      </w:r>
      <w:r w:rsidR="00ED2749" w:rsidRPr="009641A1">
        <w:t xml:space="preserve"> undertakes not to discriminate unfairly against any subject of a criminal record check on the basis of a conviction or other information revealed</w:t>
      </w:r>
    </w:p>
    <w:p w14:paraId="41759DBF" w14:textId="77777777" w:rsidR="00ED2749" w:rsidRPr="009641A1" w:rsidRDefault="006F434A" w:rsidP="00ED2749">
      <w:pPr>
        <w:numPr>
          <w:ilvl w:val="0"/>
          <w:numId w:val="26"/>
        </w:numPr>
      </w:pPr>
      <w:r>
        <w:t>BPET</w:t>
      </w:r>
      <w:r w:rsidR="00ED2749" w:rsidRPr="009641A1">
        <w:t xml:space="preserve"> can only ask an individual to provide details of convictions and cautions that </w:t>
      </w:r>
      <w:r>
        <w:t>we</w:t>
      </w:r>
      <w:r w:rsidR="00ED2749" w:rsidRPr="009641A1">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58319269" w14:textId="77777777" w:rsidR="00ED2749" w:rsidRPr="009641A1" w:rsidRDefault="005C44A3" w:rsidP="00ED2749">
      <w:pPr>
        <w:numPr>
          <w:ilvl w:val="0"/>
          <w:numId w:val="26"/>
        </w:numPr>
      </w:pPr>
      <w:r>
        <w:t>BPET</w:t>
      </w:r>
      <w:r w:rsidR="00ED2749" w:rsidRPr="009641A1">
        <w:t xml:space="preserve"> can only ask an individual about convictions and cautions that are not protected</w:t>
      </w:r>
    </w:p>
    <w:p w14:paraId="00CAA0D0" w14:textId="77777777" w:rsidR="00ED2749" w:rsidRPr="009641A1" w:rsidRDefault="00ED2749" w:rsidP="00ED2749">
      <w:pPr>
        <w:numPr>
          <w:ilvl w:val="0"/>
          <w:numId w:val="26"/>
        </w:numPr>
      </w:pPr>
      <w:r w:rsidRPr="009641A1">
        <w:t>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2D335D">
        <w:t xml:space="preserve">.  </w:t>
      </w:r>
    </w:p>
    <w:p w14:paraId="7887F6CB" w14:textId="77777777" w:rsidR="00ED2749" w:rsidRPr="009641A1" w:rsidRDefault="002D335D" w:rsidP="00ED2749">
      <w:pPr>
        <w:numPr>
          <w:ilvl w:val="0"/>
          <w:numId w:val="26"/>
        </w:numPr>
      </w:pPr>
      <w:r>
        <w:t>BPET</w:t>
      </w:r>
      <w:r w:rsidR="00ED2749" w:rsidRPr="009641A1">
        <w:t xml:space="preserve"> ensures that all those </w:t>
      </w:r>
      <w:r>
        <w:t>staff</w:t>
      </w:r>
      <w:r w:rsidR="00ED2749" w:rsidRPr="009641A1">
        <w:t xml:space="preserve"> involved in the recruitment process have been suitably trained to identify and assess the relevance and circumstances of offences</w:t>
      </w:r>
    </w:p>
    <w:p w14:paraId="1313C289" w14:textId="77777777" w:rsidR="00ED2749" w:rsidRPr="009641A1" w:rsidRDefault="002D335D" w:rsidP="00ED2749">
      <w:pPr>
        <w:numPr>
          <w:ilvl w:val="0"/>
          <w:numId w:val="26"/>
        </w:numPr>
      </w:pPr>
      <w:r>
        <w:t>BPET</w:t>
      </w:r>
      <w:r w:rsidR="00ED2749" w:rsidRPr="009641A1">
        <w:t xml:space="preserve"> also ensures that they have received appropriate guidance and training in the relevant legislation relating to the employment of ex-offenders, e.g. the Rehabilitation of Offenders Act 1974</w:t>
      </w:r>
    </w:p>
    <w:p w14:paraId="781AB94A" w14:textId="77777777" w:rsidR="00ED2749" w:rsidRPr="009641A1" w:rsidRDefault="00ED2749" w:rsidP="00ED2749">
      <w:pPr>
        <w:numPr>
          <w:ilvl w:val="0"/>
          <w:numId w:val="26"/>
        </w:numPr>
      </w:pPr>
      <w:r w:rsidRPr="009641A1">
        <w:t>at intervie</w:t>
      </w:r>
      <w:r w:rsidR="002D335D">
        <w:t>w, or in a separate discussion, BPET will ensure</w:t>
      </w:r>
      <w:r w:rsidRPr="009641A1">
        <w:t xml:space="preserv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4433C93" w14:textId="77777777" w:rsidR="00ED2749" w:rsidRPr="009641A1" w:rsidRDefault="002D335D" w:rsidP="00ED2749">
      <w:pPr>
        <w:numPr>
          <w:ilvl w:val="0"/>
          <w:numId w:val="26"/>
        </w:numPr>
      </w:pPr>
      <w:r>
        <w:t>BPET</w:t>
      </w:r>
      <w:r w:rsidR="00ED2749" w:rsidRPr="009641A1">
        <w:t xml:space="preserve"> undertakes to discuss any matter revealed on a DBS certificate with the individual seeking the position before withdrawing a conditional offer of employment.</w:t>
      </w:r>
    </w:p>
    <w:p w14:paraId="1277B470" w14:textId="77777777" w:rsidR="002D335D" w:rsidRPr="002D335D" w:rsidRDefault="002D335D" w:rsidP="002D335D">
      <w:pPr>
        <w:pStyle w:val="ListParagraph"/>
        <w:numPr>
          <w:ilvl w:val="0"/>
          <w:numId w:val="22"/>
        </w:numPr>
        <w:rPr>
          <w:b/>
        </w:rPr>
      </w:pPr>
      <w:r w:rsidRPr="002D335D">
        <w:rPr>
          <w:b/>
        </w:rPr>
        <w:t>Approval by the Bellevue Place Education Trust Board</w:t>
      </w:r>
    </w:p>
    <w:p w14:paraId="1B6C59AE" w14:textId="77777777" w:rsidR="009605B3" w:rsidRDefault="002D335D" w:rsidP="009605B3">
      <w:r>
        <w:t>This policy has been formally approved and adopted by the BPET Board.</w:t>
      </w:r>
      <w:bookmarkStart w:id="0" w:name="_Toc109997332"/>
    </w:p>
    <w:p w14:paraId="7DF2C8C4" w14:textId="4FCD8B78" w:rsidR="009605B3" w:rsidRPr="009605B3" w:rsidRDefault="009605B3" w:rsidP="009605B3">
      <w:pPr>
        <w:rPr>
          <w:b/>
          <w:bCs/>
        </w:rPr>
      </w:pPr>
      <w:r w:rsidRPr="009605B3">
        <w:rPr>
          <w:rFonts w:cstheme="minorHAnsi"/>
          <w:b/>
          <w:bCs/>
        </w:rPr>
        <w:t>Monitoring and Evaluation</w:t>
      </w:r>
      <w:bookmarkEnd w:id="0"/>
    </w:p>
    <w:p w14:paraId="660D0977" w14:textId="11E2D5DE" w:rsidR="009605B3" w:rsidRPr="00F47869" w:rsidRDefault="009605B3" w:rsidP="009605B3">
      <w:pPr>
        <w:pStyle w:val="Default"/>
        <w:rPr>
          <w:rFonts w:asciiTheme="minorHAnsi" w:hAnsiTheme="minorHAnsi" w:cstheme="minorHAnsi"/>
          <w:sz w:val="22"/>
          <w:szCs w:val="22"/>
        </w:rPr>
      </w:pPr>
      <w:r w:rsidRPr="00F47869">
        <w:rPr>
          <w:rFonts w:asciiTheme="minorHAnsi" w:hAnsiTheme="minorHAnsi" w:cstheme="minorHAnsi"/>
          <w:color w:val="auto"/>
          <w:sz w:val="22"/>
          <w:szCs w:val="22"/>
        </w:rPr>
        <w:t>The Headteacher and Trust will review this policy statement</w:t>
      </w:r>
      <w:r w:rsidR="0095480C">
        <w:rPr>
          <w:rFonts w:asciiTheme="minorHAnsi" w:hAnsiTheme="minorHAnsi" w:cstheme="minorHAnsi"/>
          <w:color w:val="auto"/>
          <w:sz w:val="22"/>
          <w:szCs w:val="22"/>
        </w:rPr>
        <w:t xml:space="preserve"> bi-</w:t>
      </w:r>
      <w:r w:rsidRPr="00F47869">
        <w:rPr>
          <w:rFonts w:asciiTheme="minorHAnsi" w:hAnsiTheme="minorHAnsi" w:cstheme="minorHAnsi"/>
          <w:color w:val="auto"/>
          <w:sz w:val="22"/>
          <w:szCs w:val="22"/>
        </w:rPr>
        <w:t>annually and update it in consultation with key staff, in line with current best practice as s/he considers necessary.</w:t>
      </w:r>
    </w:p>
    <w:p w14:paraId="025C0E10" w14:textId="77777777" w:rsidR="00797265" w:rsidRDefault="00797265">
      <w:pPr>
        <w:rPr>
          <w:b/>
        </w:rPr>
      </w:pPr>
    </w:p>
    <w:sectPr w:rsidR="00797265" w:rsidSect="005A7A03">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60F"/>
    <w:multiLevelType w:val="hybridMultilevel"/>
    <w:tmpl w:val="0166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95F96"/>
    <w:multiLevelType w:val="hybridMultilevel"/>
    <w:tmpl w:val="928E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F4109"/>
    <w:multiLevelType w:val="multilevel"/>
    <w:tmpl w:val="83803540"/>
    <w:lvl w:ilvl="0">
      <w:start w:val="2"/>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92213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349A8"/>
    <w:multiLevelType w:val="multilevel"/>
    <w:tmpl w:val="D25C89C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C34EFF"/>
    <w:multiLevelType w:val="multilevel"/>
    <w:tmpl w:val="2D9897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C85F23"/>
    <w:multiLevelType w:val="multilevel"/>
    <w:tmpl w:val="83803540"/>
    <w:lvl w:ilvl="0">
      <w:start w:val="2"/>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BA70950"/>
    <w:multiLevelType w:val="hybridMultilevel"/>
    <w:tmpl w:val="0A76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54839"/>
    <w:multiLevelType w:val="hybridMultilevel"/>
    <w:tmpl w:val="071AB3D0"/>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E69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076819"/>
    <w:multiLevelType w:val="hybridMultilevel"/>
    <w:tmpl w:val="A9EA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93798"/>
    <w:multiLevelType w:val="hybridMultilevel"/>
    <w:tmpl w:val="2568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834174"/>
    <w:multiLevelType w:val="hybridMultilevel"/>
    <w:tmpl w:val="911A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B5A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E022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FA7AF4"/>
    <w:multiLevelType w:val="hybridMultilevel"/>
    <w:tmpl w:val="8210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218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823F75"/>
    <w:multiLevelType w:val="hybridMultilevel"/>
    <w:tmpl w:val="6D364B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C66FB"/>
    <w:multiLevelType w:val="hybridMultilevel"/>
    <w:tmpl w:val="D8F6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52D73"/>
    <w:multiLevelType w:val="hybridMultilevel"/>
    <w:tmpl w:val="C06A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53022"/>
    <w:multiLevelType w:val="multilevel"/>
    <w:tmpl w:val="68ACFC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160C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8F3747"/>
    <w:multiLevelType w:val="multilevel"/>
    <w:tmpl w:val="97668A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F5422D"/>
    <w:multiLevelType w:val="hybridMultilevel"/>
    <w:tmpl w:val="E404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690B81"/>
    <w:multiLevelType w:val="hybridMultilevel"/>
    <w:tmpl w:val="8E2C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412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1E6771"/>
    <w:multiLevelType w:val="multilevel"/>
    <w:tmpl w:val="35AE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1397809">
    <w:abstractNumId w:val="1"/>
  </w:num>
  <w:num w:numId="2" w16cid:durableId="1697652549">
    <w:abstractNumId w:val="24"/>
  </w:num>
  <w:num w:numId="3" w16cid:durableId="2043359349">
    <w:abstractNumId w:val="12"/>
  </w:num>
  <w:num w:numId="4" w16cid:durableId="856694815">
    <w:abstractNumId w:val="15"/>
  </w:num>
  <w:num w:numId="5" w16cid:durableId="1108695361">
    <w:abstractNumId w:val="11"/>
  </w:num>
  <w:num w:numId="6" w16cid:durableId="1644507445">
    <w:abstractNumId w:val="18"/>
  </w:num>
  <w:num w:numId="7" w16cid:durableId="1952929231">
    <w:abstractNumId w:val="0"/>
  </w:num>
  <w:num w:numId="8" w16cid:durableId="2053990785">
    <w:abstractNumId w:val="19"/>
  </w:num>
  <w:num w:numId="9" w16cid:durableId="1175417327">
    <w:abstractNumId w:val="10"/>
  </w:num>
  <w:num w:numId="10" w16cid:durableId="1989935967">
    <w:abstractNumId w:val="23"/>
  </w:num>
  <w:num w:numId="11" w16cid:durableId="422456542">
    <w:abstractNumId w:val="7"/>
  </w:num>
  <w:num w:numId="12" w16cid:durableId="172843457">
    <w:abstractNumId w:val="8"/>
  </w:num>
  <w:num w:numId="13" w16cid:durableId="617302403">
    <w:abstractNumId w:val="17"/>
  </w:num>
  <w:num w:numId="14" w16cid:durableId="1204057341">
    <w:abstractNumId w:val="3"/>
  </w:num>
  <w:num w:numId="15" w16cid:durableId="1234316507">
    <w:abstractNumId w:val="5"/>
  </w:num>
  <w:num w:numId="16" w16cid:durableId="1091317694">
    <w:abstractNumId w:val="14"/>
  </w:num>
  <w:num w:numId="17" w16cid:durableId="1704474502">
    <w:abstractNumId w:val="16"/>
  </w:num>
  <w:num w:numId="18" w16cid:durableId="1040279444">
    <w:abstractNumId w:val="21"/>
  </w:num>
  <w:num w:numId="19" w16cid:durableId="1984969763">
    <w:abstractNumId w:val="13"/>
  </w:num>
  <w:num w:numId="20" w16cid:durableId="179513827">
    <w:abstractNumId w:val="9"/>
  </w:num>
  <w:num w:numId="21" w16cid:durableId="1028216643">
    <w:abstractNumId w:val="25"/>
  </w:num>
  <w:num w:numId="22" w16cid:durableId="1533305810">
    <w:abstractNumId w:val="2"/>
  </w:num>
  <w:num w:numId="23" w16cid:durableId="1051997239">
    <w:abstractNumId w:val="4"/>
  </w:num>
  <w:num w:numId="24" w16cid:durableId="203061894">
    <w:abstractNumId w:val="22"/>
  </w:num>
  <w:num w:numId="25" w16cid:durableId="1748383402">
    <w:abstractNumId w:val="20"/>
  </w:num>
  <w:num w:numId="26" w16cid:durableId="1332102720">
    <w:abstractNumId w:val="26"/>
  </w:num>
  <w:num w:numId="27" w16cid:durableId="2126535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8D"/>
    <w:rsid w:val="00174C4C"/>
    <w:rsid w:val="001832D8"/>
    <w:rsid w:val="002B107F"/>
    <w:rsid w:val="002D335D"/>
    <w:rsid w:val="0035485F"/>
    <w:rsid w:val="00355C40"/>
    <w:rsid w:val="004569E8"/>
    <w:rsid w:val="0049754F"/>
    <w:rsid w:val="004B75DA"/>
    <w:rsid w:val="004E49BE"/>
    <w:rsid w:val="00513C80"/>
    <w:rsid w:val="0058078D"/>
    <w:rsid w:val="005A7A03"/>
    <w:rsid w:val="005C44A3"/>
    <w:rsid w:val="00637CB0"/>
    <w:rsid w:val="006E0331"/>
    <w:rsid w:val="006F434A"/>
    <w:rsid w:val="007762ED"/>
    <w:rsid w:val="00797265"/>
    <w:rsid w:val="007975BC"/>
    <w:rsid w:val="008074A7"/>
    <w:rsid w:val="00841A2C"/>
    <w:rsid w:val="008D7404"/>
    <w:rsid w:val="008F2E6D"/>
    <w:rsid w:val="0095480C"/>
    <w:rsid w:val="009605B3"/>
    <w:rsid w:val="00966D56"/>
    <w:rsid w:val="00970E4C"/>
    <w:rsid w:val="00A37AFD"/>
    <w:rsid w:val="00C32D6D"/>
    <w:rsid w:val="00D235D2"/>
    <w:rsid w:val="00D9671A"/>
    <w:rsid w:val="00DD5641"/>
    <w:rsid w:val="00DF3B7B"/>
    <w:rsid w:val="00ED2749"/>
    <w:rsid w:val="00F9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AD05"/>
  <w15:chartTrackingRefBased/>
  <w15:docId w15:val="{899EF212-0FED-4D61-9DC1-FF69BDB8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D8"/>
  </w:style>
  <w:style w:type="paragraph" w:styleId="Heading1">
    <w:name w:val="heading 1"/>
    <w:basedOn w:val="Normal"/>
    <w:next w:val="Normal"/>
    <w:link w:val="Heading1Char"/>
    <w:uiPriority w:val="9"/>
    <w:qFormat/>
    <w:rsid w:val="00960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A7A03"/>
    <w:pPr>
      <w:keepNext/>
      <w:spacing w:before="240" w:after="60" w:line="276" w:lineRule="auto"/>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8D"/>
    <w:rPr>
      <w:color w:val="0563C1" w:themeColor="hyperlink"/>
      <w:u w:val="single"/>
    </w:rPr>
  </w:style>
  <w:style w:type="paragraph" w:styleId="ListParagraph">
    <w:name w:val="List Paragraph"/>
    <w:basedOn w:val="Normal"/>
    <w:uiPriority w:val="34"/>
    <w:qFormat/>
    <w:rsid w:val="0058078D"/>
    <w:pPr>
      <w:ind w:left="720"/>
      <w:contextualSpacing/>
    </w:pPr>
  </w:style>
  <w:style w:type="table" w:styleId="TableGrid">
    <w:name w:val="Table Grid"/>
    <w:basedOn w:val="TableNormal"/>
    <w:uiPriority w:val="39"/>
    <w:rsid w:val="006E0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07F"/>
    <w:rPr>
      <w:rFonts w:ascii="Segoe UI" w:hAnsi="Segoe UI" w:cs="Segoe UI"/>
      <w:sz w:val="18"/>
      <w:szCs w:val="18"/>
    </w:rPr>
  </w:style>
  <w:style w:type="paragraph" w:styleId="Header">
    <w:name w:val="header"/>
    <w:basedOn w:val="Normal"/>
    <w:link w:val="HeaderChar"/>
    <w:unhideWhenUsed/>
    <w:rsid w:val="00841A2C"/>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841A2C"/>
    <w:rPr>
      <w:rFonts w:ascii="Calibri" w:eastAsia="Calibri" w:hAnsi="Calibri" w:cs="Times New Roman"/>
    </w:rPr>
  </w:style>
  <w:style w:type="character" w:customStyle="1" w:styleId="Heading2Char">
    <w:name w:val="Heading 2 Char"/>
    <w:basedOn w:val="DefaultParagraphFont"/>
    <w:link w:val="Heading2"/>
    <w:rsid w:val="005A7A03"/>
    <w:rPr>
      <w:rFonts w:ascii="Calibri" w:eastAsia="MS Gothic" w:hAnsi="Calibri" w:cs="Times New Roman"/>
      <w:b/>
      <w:bCs/>
      <w:i/>
      <w:iCs/>
      <w:sz w:val="28"/>
      <w:szCs w:val="28"/>
    </w:rPr>
  </w:style>
  <w:style w:type="paragraph" w:styleId="NoSpacing">
    <w:name w:val="No Spacing"/>
    <w:uiPriority w:val="1"/>
    <w:qFormat/>
    <w:rsid w:val="0035485F"/>
    <w:pPr>
      <w:spacing w:after="0" w:line="240" w:lineRule="auto"/>
      <w:jc w:val="both"/>
    </w:pPr>
    <w:rPr>
      <w:rFonts w:ascii="Arial" w:eastAsia="Times New Roman" w:hAnsi="Arial" w:cs="Arial"/>
      <w:sz w:val="21"/>
      <w:szCs w:val="20"/>
    </w:rPr>
  </w:style>
  <w:style w:type="character" w:styleId="FollowedHyperlink">
    <w:name w:val="FollowedHyperlink"/>
    <w:basedOn w:val="DefaultParagraphFont"/>
    <w:uiPriority w:val="99"/>
    <w:semiHidden/>
    <w:unhideWhenUsed/>
    <w:rsid w:val="00ED2749"/>
    <w:rPr>
      <w:color w:val="954F72" w:themeColor="followedHyperlink"/>
      <w:u w:val="single"/>
    </w:rPr>
  </w:style>
  <w:style w:type="character" w:customStyle="1" w:styleId="Heading1Char">
    <w:name w:val="Heading 1 Char"/>
    <w:basedOn w:val="DefaultParagraphFont"/>
    <w:link w:val="Heading1"/>
    <w:uiPriority w:val="9"/>
    <w:rsid w:val="009605B3"/>
    <w:rPr>
      <w:rFonts w:asciiTheme="majorHAnsi" w:eastAsiaTheme="majorEastAsia" w:hAnsiTheme="majorHAnsi" w:cstheme="majorBidi"/>
      <w:color w:val="2E74B5" w:themeColor="accent1" w:themeShade="BF"/>
      <w:sz w:val="32"/>
      <w:szCs w:val="32"/>
    </w:rPr>
  </w:style>
  <w:style w:type="paragraph" w:customStyle="1" w:styleId="Default">
    <w:name w:val="Default"/>
    <w:uiPriority w:val="99"/>
    <w:rsid w:val="009605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4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Perry</dc:creator>
  <cp:keywords/>
  <dc:description/>
  <cp:lastModifiedBy>Jane Aust</cp:lastModifiedBy>
  <cp:revision>9</cp:revision>
  <dcterms:created xsi:type="dcterms:W3CDTF">2021-06-09T15:03:00Z</dcterms:created>
  <dcterms:modified xsi:type="dcterms:W3CDTF">2023-09-15T08:29:00Z</dcterms:modified>
</cp:coreProperties>
</file>